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7B9" w:rsidRDefault="00147F41">
      <w:pPr>
        <w:rPr>
          <w:b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>
            <wp:extent cx="1362075" cy="10512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BRA emble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893" cy="107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>Technical Bulletin No.25</w:t>
      </w:r>
    </w:p>
    <w:p w:rsidR="00147F41" w:rsidRDefault="00147F41">
      <w:pPr>
        <w:rPr>
          <w:b/>
          <w:sz w:val="36"/>
          <w:szCs w:val="36"/>
        </w:rPr>
      </w:pPr>
      <w:r>
        <w:rPr>
          <w:b/>
          <w:sz w:val="36"/>
          <w:szCs w:val="36"/>
        </w:rPr>
        <w:t>September 2015</w:t>
      </w:r>
    </w:p>
    <w:p w:rsidR="00147F41" w:rsidRDefault="00147F41" w:rsidP="00C57B84">
      <w:pPr>
        <w:rPr>
          <w:b/>
          <w:sz w:val="36"/>
          <w:szCs w:val="36"/>
        </w:rPr>
      </w:pPr>
      <w:r w:rsidRPr="00C57B84">
        <w:rPr>
          <w:b/>
          <w:color w:val="FF0000"/>
          <w:sz w:val="36"/>
          <w:szCs w:val="36"/>
        </w:rPr>
        <w:t>Welding Fumes – Safety Alert</w:t>
      </w:r>
      <w:r>
        <w:rPr>
          <w:b/>
          <w:sz w:val="36"/>
          <w:szCs w:val="36"/>
        </w:rPr>
        <w:t xml:space="preserve"> </w:t>
      </w:r>
      <w:r w:rsidRPr="00C57B84">
        <w:rPr>
          <w:b/>
          <w:sz w:val="18"/>
          <w:szCs w:val="18"/>
        </w:rPr>
        <w:t>(Revision 1 – 2013)</w:t>
      </w:r>
    </w:p>
    <w:p w:rsidR="00147F41" w:rsidRDefault="00147F41" w:rsidP="00C57B84">
      <w:pPr>
        <w:rPr>
          <w:b/>
          <w:sz w:val="36"/>
          <w:szCs w:val="36"/>
        </w:rPr>
      </w:pPr>
      <w:r>
        <w:rPr>
          <w:b/>
          <w:sz w:val="36"/>
          <w:szCs w:val="36"/>
        </w:rPr>
        <w:t>(Courtesy of British Compressed Gases Association)</w:t>
      </w:r>
    </w:p>
    <w:p w:rsidR="00147F41" w:rsidRDefault="00147F41" w:rsidP="00C57B84">
      <w:pPr>
        <w:rPr>
          <w:b/>
          <w:sz w:val="36"/>
          <w:szCs w:val="36"/>
        </w:rPr>
      </w:pPr>
      <w:r>
        <w:rPr>
          <w:b/>
          <w:sz w:val="36"/>
          <w:szCs w:val="36"/>
        </w:rPr>
        <w:t>TIS 24 (Technical Information Sheet)</w:t>
      </w:r>
    </w:p>
    <w:p w:rsidR="00147F41" w:rsidRDefault="00147F41">
      <w:pPr>
        <w:rPr>
          <w:sz w:val="36"/>
          <w:szCs w:val="36"/>
        </w:rPr>
      </w:pPr>
      <w:r w:rsidRPr="00147F41">
        <w:rPr>
          <w:sz w:val="36"/>
          <w:szCs w:val="36"/>
        </w:rPr>
        <w:t xml:space="preserve">The publishing of guidelines </w:t>
      </w:r>
      <w:r>
        <w:rPr>
          <w:sz w:val="36"/>
          <w:szCs w:val="36"/>
        </w:rPr>
        <w:t>for safe working and health &amp; safety when carrying out all forms of welding are constantly under review, a report is imminent from the HSE regarding this subject, it will no doubt confirm what is already known.</w:t>
      </w:r>
    </w:p>
    <w:p w:rsidR="00147F41" w:rsidRDefault="00147F41">
      <w:pPr>
        <w:rPr>
          <w:sz w:val="36"/>
          <w:szCs w:val="36"/>
        </w:rPr>
      </w:pPr>
      <w:r>
        <w:rPr>
          <w:sz w:val="36"/>
          <w:szCs w:val="36"/>
        </w:rPr>
        <w:t>This technical information bulletin from the BCGA is very relevant, and it is a timely reminder that employers should already be taking steps to protect their employees from risk.</w:t>
      </w:r>
    </w:p>
    <w:p w:rsidR="00147F41" w:rsidRDefault="00147F41">
      <w:pPr>
        <w:rPr>
          <w:sz w:val="36"/>
          <w:szCs w:val="36"/>
        </w:rPr>
      </w:pPr>
      <w:r>
        <w:rPr>
          <w:sz w:val="36"/>
          <w:szCs w:val="36"/>
        </w:rPr>
        <w:t>Please use this document as guidance.</w:t>
      </w:r>
    </w:p>
    <w:p w:rsidR="00147F41" w:rsidRDefault="00147F41">
      <w:pPr>
        <w:rPr>
          <w:sz w:val="36"/>
          <w:szCs w:val="36"/>
        </w:rPr>
      </w:pPr>
    </w:p>
    <w:p w:rsidR="00147F41" w:rsidRDefault="00147F41">
      <w:pPr>
        <w:rPr>
          <w:sz w:val="36"/>
          <w:szCs w:val="36"/>
        </w:rPr>
      </w:pPr>
      <w:r>
        <w:rPr>
          <w:sz w:val="36"/>
          <w:szCs w:val="36"/>
        </w:rPr>
        <w:t>Any questions please contact;</w:t>
      </w:r>
    </w:p>
    <w:p w:rsidR="00147F41" w:rsidRDefault="00147F41">
      <w:pPr>
        <w:rPr>
          <w:sz w:val="36"/>
          <w:szCs w:val="36"/>
        </w:rPr>
      </w:pPr>
      <w:r>
        <w:rPr>
          <w:sz w:val="36"/>
          <w:szCs w:val="36"/>
        </w:rPr>
        <w:t>Gerry Braddock, Project Manager, VBRA</w:t>
      </w:r>
    </w:p>
    <w:p w:rsidR="00147F41" w:rsidRDefault="00147F41">
      <w:pPr>
        <w:rPr>
          <w:sz w:val="36"/>
          <w:szCs w:val="36"/>
        </w:rPr>
      </w:pPr>
      <w:r>
        <w:rPr>
          <w:sz w:val="36"/>
          <w:szCs w:val="36"/>
        </w:rPr>
        <w:t xml:space="preserve">07776-294744, email; </w:t>
      </w:r>
      <w:hyperlink r:id="rId6" w:history="1">
        <w:r w:rsidRPr="00FB33BA">
          <w:rPr>
            <w:rStyle w:val="Hyperlink"/>
            <w:sz w:val="36"/>
            <w:szCs w:val="36"/>
          </w:rPr>
          <w:t>gerryb@vbra.co.uk</w:t>
        </w:r>
      </w:hyperlink>
    </w:p>
    <w:p w:rsidR="00147F41" w:rsidRPr="00147F41" w:rsidRDefault="00147F41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147F41" w:rsidRDefault="00147F41">
      <w:pPr>
        <w:rPr>
          <w:sz w:val="36"/>
          <w:szCs w:val="36"/>
        </w:rPr>
      </w:pPr>
    </w:p>
    <w:p w:rsidR="003D08EE" w:rsidRDefault="003D08EE">
      <w:pPr>
        <w:rPr>
          <w:sz w:val="36"/>
          <w:szCs w:val="36"/>
        </w:rPr>
      </w:pPr>
      <w:bookmarkStart w:id="0" w:name="_GoBack"/>
      <w:bookmarkEnd w:id="0"/>
    </w:p>
    <w:p w:rsidR="003D08EE" w:rsidRDefault="00C57B84">
      <w:pPr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281305</wp:posOffset>
                </wp:positionV>
                <wp:extent cx="4975860" cy="731520"/>
                <wp:effectExtent l="0" t="0" r="15240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586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B84" w:rsidRDefault="00C57B84" w:rsidP="00C57B84">
                            <w:pPr>
                              <w:spacing w:after="0"/>
                              <w:jc w:val="center"/>
                            </w:pPr>
                            <w:r>
                              <w:t>Vehicle Builders and Repairers Association</w:t>
                            </w:r>
                          </w:p>
                          <w:p w:rsidR="00C57B84" w:rsidRDefault="00C57B84" w:rsidP="00C57B84">
                            <w:pPr>
                              <w:spacing w:after="0"/>
                              <w:jc w:val="center"/>
                            </w:pPr>
                            <w:r>
                              <w:t xml:space="preserve">1 Howley Park, </w:t>
                            </w:r>
                            <w:proofErr w:type="spellStart"/>
                            <w:r>
                              <w:t>Pullan</w:t>
                            </w:r>
                            <w:proofErr w:type="spellEnd"/>
                            <w:r>
                              <w:t xml:space="preserve"> Way, Morley, Leeds, LS27 0BZ</w:t>
                            </w:r>
                          </w:p>
                          <w:p w:rsidR="00C57B84" w:rsidRDefault="00C57B84" w:rsidP="00C57B84">
                            <w:pPr>
                              <w:spacing w:after="0"/>
                              <w:jc w:val="center"/>
                            </w:pPr>
                            <w:r>
                              <w:t xml:space="preserve">Tel 0113 253 8333 </w:t>
                            </w:r>
                            <w:hyperlink r:id="rId7" w:history="1">
                              <w:r w:rsidRPr="00C337C3">
                                <w:rPr>
                                  <w:rStyle w:val="Hyperlink"/>
                                </w:rPr>
                                <w:t>www.vbra.co.uk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C57B84" w:rsidRDefault="00C57B84" w:rsidP="00C57B84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9.8pt;margin-top:22.15pt;width:391.8pt;height:5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" fillcolor="white [3201]" strokeweight=".5pt">
                <v:textbox>
                  <w:txbxContent>
                    <w:p w:rsidR="00C57B84" w:rsidRDefault="00C57B84" w:rsidP="00C57B84">
                      <w:pPr>
                        <w:spacing w:after="0"/>
                        <w:jc w:val="center"/>
                      </w:pPr>
                      <w:r>
                        <w:t>Vehicle Builders and Repairers Association</w:t>
                      </w:r>
                    </w:p>
                    <w:p w:rsidR="00C57B84" w:rsidRDefault="00C57B84" w:rsidP="00C57B84">
                      <w:pPr>
                        <w:spacing w:after="0"/>
                        <w:jc w:val="center"/>
                      </w:pPr>
                      <w:r>
                        <w:t xml:space="preserve">1 Howley Park, </w:t>
                      </w:r>
                      <w:proofErr w:type="spellStart"/>
                      <w:r>
                        <w:t>Pullan</w:t>
                      </w:r>
                      <w:proofErr w:type="spellEnd"/>
                      <w:r>
                        <w:t xml:space="preserve"> Way, Morley, Leeds, LS27 0BZ</w:t>
                      </w:r>
                    </w:p>
                    <w:p w:rsidR="00C57B84" w:rsidRDefault="00C57B84" w:rsidP="00C57B84">
                      <w:pPr>
                        <w:spacing w:after="0"/>
                        <w:jc w:val="center"/>
                      </w:pPr>
                      <w:r>
                        <w:t xml:space="preserve">Tel 0113 253 8333 </w:t>
                      </w:r>
                      <w:hyperlink r:id="rId8" w:history="1">
                        <w:r w:rsidRPr="00C337C3">
                          <w:rPr>
                            <w:rStyle w:val="Hyperlink"/>
                          </w:rPr>
                          <w:t>www.vbra.co.uk</w:t>
                        </w:r>
                      </w:hyperlink>
                      <w:r>
                        <w:t xml:space="preserve"> </w:t>
                      </w:r>
                    </w:p>
                    <w:p w:rsidR="00C57B84" w:rsidRDefault="00C57B84" w:rsidP="00C57B84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D08EE" w:rsidRDefault="003D08EE" w:rsidP="003D08EE">
      <w:pPr>
        <w:textAlignment w:val="baseline"/>
        <w:rPr>
          <w:rFonts w:eastAsia="Times New Roman"/>
          <w:color w:val="000000"/>
          <w:sz w:val="24"/>
        </w:rPr>
      </w:pPr>
    </w:p>
    <w:p w:rsidR="003D08EE" w:rsidRDefault="003D08EE" w:rsidP="003D08EE">
      <w:pPr>
        <w:rPr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6"/>
        <w:gridCol w:w="7854"/>
      </w:tblGrid>
      <w:tr w:rsidR="003D08EE" w:rsidTr="00F520E1">
        <w:tblPrEx>
          <w:tblCellMar>
            <w:top w:w="0" w:type="dxa"/>
            <w:bottom w:w="0" w:type="dxa"/>
          </w:tblCellMar>
        </w:tblPrEx>
        <w:trPr>
          <w:trHeight w:hRule="exact" w:val="1319"/>
        </w:trPr>
        <w:tc>
          <w:tcPr>
            <w:tcW w:w="16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D08EE" w:rsidRDefault="003D08EE" w:rsidP="00F520E1">
            <w:pPr>
              <w:spacing w:before="14"/>
              <w:ind w:left="340"/>
              <w:jc w:val="right"/>
              <w:textAlignment w:val="baseline"/>
            </w:pPr>
            <w:r>
              <w:rPr>
                <w:noProof/>
                <w:lang w:eastAsia="en-GB"/>
              </w:rPr>
              <w:drawing>
                <wp:inline distT="0" distB="0" distL="0" distR="0" wp14:anchorId="3E4C64B1" wp14:editId="13BFBAA9">
                  <wp:extent cx="829310" cy="828675"/>
                  <wp:effectExtent l="0" t="0" r="0" b="0"/>
                  <wp:docPr id="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1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D08EE" w:rsidRDefault="003D08EE" w:rsidP="00F520E1">
            <w:pPr>
              <w:spacing w:before="39" w:line="321" w:lineRule="exact"/>
              <w:ind w:right="72"/>
              <w:jc w:val="right"/>
              <w:textAlignment w:val="baseline"/>
              <w:rPr>
                <w:rFonts w:eastAsia="Times New Roman"/>
                <w:b/>
                <w:color w:val="00007F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7F"/>
                <w:sz w:val="28"/>
                <w:lang w:val="en-US"/>
              </w:rPr>
              <w:t>BRITISH COMPRESSED GASES ASSOCIATION</w:t>
            </w:r>
          </w:p>
          <w:p w:rsidR="003D08EE" w:rsidRDefault="003D08EE" w:rsidP="00F520E1">
            <w:pPr>
              <w:spacing w:before="2" w:line="252" w:lineRule="exact"/>
              <w:ind w:right="72"/>
              <w:jc w:val="right"/>
              <w:textAlignment w:val="baseline"/>
              <w:rPr>
                <w:rFonts w:eastAsia="Times New Roman"/>
                <w:color w:val="00007F"/>
              </w:rPr>
            </w:pPr>
            <w:r>
              <w:rPr>
                <w:rFonts w:ascii="Times New Roman" w:eastAsia="Times New Roman" w:hAnsi="Times New Roman"/>
                <w:color w:val="00007F"/>
                <w:lang w:val="en-US"/>
              </w:rPr>
              <w:t>Registered office: 4a Mallard Way, Pride Park, Derby, DE24 8GX</w:t>
            </w:r>
          </w:p>
          <w:p w:rsidR="003D08EE" w:rsidRDefault="003D08EE" w:rsidP="00F520E1">
            <w:pPr>
              <w:spacing w:line="249" w:lineRule="exact"/>
              <w:ind w:right="72"/>
              <w:jc w:val="right"/>
              <w:textAlignment w:val="baseline"/>
              <w:rPr>
                <w:rFonts w:eastAsia="Times New Roman"/>
                <w:color w:val="00007F"/>
              </w:rPr>
            </w:pPr>
            <w:r>
              <w:rPr>
                <w:rFonts w:ascii="Times New Roman" w:eastAsia="Times New Roman" w:hAnsi="Times New Roman"/>
                <w:color w:val="00007F"/>
                <w:lang w:val="en-US"/>
              </w:rPr>
              <w:t>Company Number: 71798, England</w:t>
            </w:r>
          </w:p>
          <w:p w:rsidR="003D08EE" w:rsidRDefault="003D08EE" w:rsidP="00F520E1">
            <w:pPr>
              <w:spacing w:before="3" w:after="186" w:line="252" w:lineRule="exact"/>
              <w:ind w:right="72"/>
              <w:jc w:val="right"/>
              <w:textAlignment w:val="baseline"/>
              <w:rPr>
                <w:rFonts w:eastAsia="Times New Roman"/>
                <w:color w:val="00007F"/>
              </w:rPr>
            </w:pPr>
            <w:hyperlink r:id="rId10">
              <w:r>
                <w:rPr>
                  <w:rFonts w:ascii="Times New Roman" w:eastAsia="Times New Roman" w:hAnsi="Times New Roman"/>
                  <w:color w:val="0000FF"/>
                  <w:u w:val="single"/>
                  <w:lang w:val="en-US"/>
                </w:rPr>
                <w:t>www.bcga.co.uk</w:t>
              </w:r>
            </w:hyperlink>
          </w:p>
        </w:tc>
      </w:tr>
    </w:tbl>
    <w:p w:rsidR="003D08EE" w:rsidRDefault="003D08EE" w:rsidP="003D08EE">
      <w:pPr>
        <w:spacing w:after="35" w:line="20" w:lineRule="exact"/>
      </w:pPr>
    </w:p>
    <w:p w:rsidR="003D08EE" w:rsidRDefault="003D08EE" w:rsidP="003D08EE">
      <w:pPr>
        <w:spacing w:before="19" w:line="643" w:lineRule="exact"/>
        <w:jc w:val="center"/>
        <w:textAlignment w:val="baseline"/>
        <w:rPr>
          <w:rFonts w:eastAsia="Times New Roman"/>
          <w:b/>
          <w:color w:val="00007F"/>
          <w:sz w:val="32"/>
        </w:rPr>
      </w:pPr>
      <w:r>
        <w:rPr>
          <w:rFonts w:eastAsia="PMingLiU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783590</wp:posOffset>
                </wp:positionH>
                <wp:positionV relativeFrom="page">
                  <wp:posOffset>1576070</wp:posOffset>
                </wp:positionV>
                <wp:extent cx="6033135" cy="0"/>
                <wp:effectExtent l="12065" t="13970" r="12700" b="508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31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AE61C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7pt,124.1pt" to="536.75pt,1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" strokecolor="blue" strokeweight=".7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color w:val="00007F"/>
          <w:sz w:val="32"/>
          <w:lang w:val="en-US"/>
        </w:rPr>
        <w:t xml:space="preserve">TECHNICAL INFORMATION SHEET 24 </w:t>
      </w:r>
      <w:r>
        <w:rPr>
          <w:rFonts w:ascii="Times New Roman" w:eastAsia="Times New Roman" w:hAnsi="Times New Roman"/>
          <w:b/>
          <w:color w:val="00007F"/>
          <w:sz w:val="32"/>
          <w:lang w:val="en-US"/>
        </w:rPr>
        <w:br/>
        <w:t>Revision 1: 2013</w:t>
      </w:r>
    </w:p>
    <w:p w:rsidR="003D08EE" w:rsidRDefault="003D08EE" w:rsidP="003D08EE">
      <w:pPr>
        <w:spacing w:before="276" w:line="367" w:lineRule="exact"/>
        <w:jc w:val="center"/>
        <w:textAlignment w:val="baseline"/>
        <w:rPr>
          <w:rFonts w:eastAsia="Times New Roman"/>
          <w:b/>
          <w:color w:val="00007F"/>
          <w:sz w:val="32"/>
        </w:rPr>
      </w:pPr>
      <w:r>
        <w:rPr>
          <w:rFonts w:ascii="Times New Roman" w:eastAsia="Times New Roman" w:hAnsi="Times New Roman"/>
          <w:b/>
          <w:color w:val="00007F"/>
          <w:sz w:val="32"/>
          <w:lang w:val="en-US"/>
        </w:rPr>
        <w:t>WELDING FUMES – SAFETY ALERT</w:t>
      </w:r>
    </w:p>
    <w:p w:rsidR="003D08EE" w:rsidRDefault="003D08EE" w:rsidP="003D08EE">
      <w:pPr>
        <w:numPr>
          <w:ilvl w:val="0"/>
          <w:numId w:val="1"/>
        </w:numPr>
        <w:spacing w:before="551" w:after="0" w:line="283" w:lineRule="exact"/>
        <w:ind w:left="0"/>
        <w:textAlignment w:val="baseline"/>
        <w:rPr>
          <w:rFonts w:eastAsia="Times New Roman"/>
          <w:b/>
          <w:color w:val="00007F"/>
          <w:spacing w:val="-4"/>
          <w:sz w:val="24"/>
        </w:rPr>
      </w:pPr>
      <w:r>
        <w:rPr>
          <w:rFonts w:ascii="Times New Roman" w:eastAsia="Times New Roman" w:hAnsi="Times New Roman"/>
          <w:b/>
          <w:color w:val="00007F"/>
          <w:spacing w:val="-4"/>
          <w:sz w:val="24"/>
          <w:lang w:val="en-US"/>
        </w:rPr>
        <w:t>SCOPE</w:t>
      </w:r>
    </w:p>
    <w:p w:rsidR="003D08EE" w:rsidRDefault="003D08EE" w:rsidP="003D08EE">
      <w:pPr>
        <w:spacing w:before="271" w:line="275" w:lineRule="exact"/>
        <w:ind w:right="72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lang w:val="en-US"/>
        </w:rPr>
        <w:t>Metal welding, both arc and gas, and cutting produces a variety of hazards, not only to those directly involved but also in the surrounding area. Obvious dangers exist such as a fire hazard; the handling of compressed, fuel and shielding gases; solvents and material handling. However a significant hazard exists from fumes. This publication aims to highlight the potentially fatal consequences in both the short and long term that these can present.</w:t>
      </w:r>
    </w:p>
    <w:p w:rsidR="003D08EE" w:rsidRDefault="003D08EE" w:rsidP="003D08EE">
      <w:pPr>
        <w:numPr>
          <w:ilvl w:val="0"/>
          <w:numId w:val="1"/>
        </w:numPr>
        <w:spacing w:before="553" w:after="0" w:line="283" w:lineRule="exact"/>
        <w:ind w:left="0"/>
        <w:textAlignment w:val="baseline"/>
        <w:rPr>
          <w:rFonts w:eastAsia="Times New Roman"/>
          <w:b/>
          <w:color w:val="00007F"/>
          <w:spacing w:val="-1"/>
          <w:sz w:val="24"/>
        </w:rPr>
      </w:pPr>
      <w:r>
        <w:rPr>
          <w:rFonts w:ascii="Times New Roman" w:eastAsia="Times New Roman" w:hAnsi="Times New Roman"/>
          <w:b/>
          <w:color w:val="00007F"/>
          <w:spacing w:val="-1"/>
          <w:sz w:val="24"/>
          <w:lang w:val="en-US"/>
        </w:rPr>
        <w:t>OVERVIEW OF FUMES</w:t>
      </w:r>
    </w:p>
    <w:p w:rsidR="003D08EE" w:rsidRDefault="003D08EE" w:rsidP="003D08EE">
      <w:pPr>
        <w:spacing w:before="267" w:line="275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lang w:val="en-US"/>
        </w:rPr>
        <w:t>The content of fumes may be either asphyxiating or toxic.</w:t>
      </w:r>
    </w:p>
    <w:p w:rsidR="003D08EE" w:rsidRDefault="003D08EE" w:rsidP="003D08EE">
      <w:pPr>
        <w:spacing w:before="282" w:line="275" w:lineRule="exact"/>
        <w:ind w:right="72"/>
        <w:jc w:val="both"/>
        <w:textAlignment w:val="baseline"/>
        <w:rPr>
          <w:rFonts w:eastAsia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  <w:lang w:val="en-US"/>
        </w:rPr>
        <w:t xml:space="preserve">Asphyxiating fumes </w:t>
      </w:r>
      <w:r>
        <w:rPr>
          <w:rFonts w:ascii="Times New Roman" w:eastAsia="Times New Roman" w:hAnsi="Times New Roman"/>
          <w:color w:val="000000"/>
          <w:sz w:val="24"/>
          <w:lang w:val="en-US"/>
        </w:rPr>
        <w:t>are mainly due to shielding gases and produce their effect by displacing oxygen from the surrounding air, excessive quantities can cause suffocation. They are most commonly argon (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en-US"/>
        </w:rPr>
        <w:t>Ar</w:t>
      </w:r>
      <w:proofErr w:type="spellEnd"/>
      <w:r>
        <w:rPr>
          <w:rFonts w:ascii="Times New Roman" w:eastAsia="Times New Roman" w:hAnsi="Times New Roman"/>
          <w:color w:val="000000"/>
          <w:sz w:val="24"/>
          <w:lang w:val="en-US"/>
        </w:rPr>
        <w:t>), helium (He) and nitrogen (N</w:t>
      </w:r>
      <w:r>
        <w:rPr>
          <w:rFonts w:ascii="Times New Roman" w:eastAsia="Times New Roman" w:hAnsi="Times New Roman"/>
          <w:color w:val="000000"/>
          <w:sz w:val="16"/>
          <w:lang w:val="en-US"/>
        </w:rPr>
        <w:t>2</w:t>
      </w:r>
      <w:r>
        <w:rPr>
          <w:rFonts w:ascii="Times New Roman" w:eastAsia="Times New Roman" w:hAnsi="Times New Roman"/>
          <w:color w:val="000000"/>
          <w:sz w:val="24"/>
          <w:lang w:val="en-US"/>
        </w:rPr>
        <w:t>). This risk is well documented and is covered in BCGA Guidance Note 11.</w:t>
      </w:r>
    </w:p>
    <w:p w:rsidR="003D08EE" w:rsidRDefault="003D08EE" w:rsidP="003D08EE">
      <w:pPr>
        <w:spacing w:before="276" w:line="275" w:lineRule="exact"/>
        <w:ind w:right="72"/>
        <w:jc w:val="both"/>
        <w:textAlignment w:val="baseline"/>
        <w:rPr>
          <w:rFonts w:eastAsia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  <w:lang w:val="en-US"/>
        </w:rPr>
        <w:t xml:space="preserve">Toxic fumes </w:t>
      </w:r>
      <w:r>
        <w:rPr>
          <w:rFonts w:ascii="Times New Roman" w:eastAsia="Times New Roman" w:hAnsi="Times New Roman"/>
          <w:color w:val="000000"/>
          <w:sz w:val="24"/>
          <w:lang w:val="en-US"/>
        </w:rPr>
        <w:t>can be both gaseous and particulate. These fumes can present a serious threat to health and ultimately life in both the short and long term.</w:t>
      </w:r>
    </w:p>
    <w:p w:rsidR="003D08EE" w:rsidRDefault="003D08EE" w:rsidP="003D08EE">
      <w:pPr>
        <w:spacing w:before="277" w:line="275" w:lineRule="exact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ascii="Times New Roman" w:eastAsia="Times New Roman" w:hAnsi="Times New Roman"/>
          <w:color w:val="000000"/>
          <w:spacing w:val="-1"/>
          <w:sz w:val="24"/>
          <w:lang w:val="en-US"/>
        </w:rPr>
        <w:t>Short-term risks:</w:t>
      </w:r>
    </w:p>
    <w:p w:rsidR="003D08EE" w:rsidRDefault="003D08EE" w:rsidP="003D08EE">
      <w:pPr>
        <w:numPr>
          <w:ilvl w:val="0"/>
          <w:numId w:val="2"/>
        </w:numPr>
        <w:tabs>
          <w:tab w:val="clear" w:pos="504"/>
          <w:tab w:val="left" w:pos="1080"/>
        </w:tabs>
        <w:spacing w:before="296" w:after="0" w:line="275" w:lineRule="exact"/>
        <w:ind w:left="1080" w:hanging="504"/>
        <w:textAlignment w:val="baseline"/>
        <w:rPr>
          <w:rFonts w:eastAsia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lang w:val="en-US"/>
        </w:rPr>
        <w:t>Eye irritation.</w:t>
      </w:r>
    </w:p>
    <w:p w:rsidR="003D08EE" w:rsidRDefault="003D08EE" w:rsidP="003D08EE">
      <w:pPr>
        <w:numPr>
          <w:ilvl w:val="0"/>
          <w:numId w:val="2"/>
        </w:numPr>
        <w:tabs>
          <w:tab w:val="clear" w:pos="504"/>
          <w:tab w:val="left" w:pos="1080"/>
        </w:tabs>
        <w:spacing w:before="18" w:after="0" w:line="275" w:lineRule="exact"/>
        <w:ind w:left="1080" w:hanging="504"/>
        <w:textAlignment w:val="baseline"/>
        <w:rPr>
          <w:rFonts w:eastAsia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lang w:val="en-US"/>
        </w:rPr>
        <w:t>Shortness of breath, and irritation to respiratory tract.</w:t>
      </w:r>
    </w:p>
    <w:p w:rsidR="003D08EE" w:rsidRDefault="003D08EE" w:rsidP="003D08EE">
      <w:pPr>
        <w:numPr>
          <w:ilvl w:val="0"/>
          <w:numId w:val="2"/>
        </w:numPr>
        <w:tabs>
          <w:tab w:val="clear" w:pos="504"/>
          <w:tab w:val="left" w:pos="1080"/>
        </w:tabs>
        <w:spacing w:before="22" w:after="0" w:line="275" w:lineRule="exact"/>
        <w:ind w:left="1080" w:hanging="504"/>
        <w:textAlignment w:val="baseline"/>
        <w:rPr>
          <w:rFonts w:eastAsia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lang w:val="en-US"/>
        </w:rPr>
        <w:t>Metal fume fever.</w:t>
      </w:r>
    </w:p>
    <w:p w:rsidR="003D08EE" w:rsidRDefault="003D08EE" w:rsidP="003D08EE">
      <w:pPr>
        <w:numPr>
          <w:ilvl w:val="0"/>
          <w:numId w:val="2"/>
        </w:numPr>
        <w:tabs>
          <w:tab w:val="clear" w:pos="504"/>
          <w:tab w:val="left" w:pos="1080"/>
        </w:tabs>
        <w:spacing w:before="15" w:after="0" w:line="275" w:lineRule="exact"/>
        <w:ind w:left="1080" w:right="72" w:hanging="504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lang w:val="en-US"/>
        </w:rPr>
        <w:t xml:space="preserve">Poisoning by many metals e.g. zinc, barium, manganese, nickel, lead, copper, chromium, cadmium and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en-US"/>
        </w:rPr>
        <w:t>aluminium</w:t>
      </w:r>
      <w:proofErr w:type="spellEnd"/>
      <w:r>
        <w:rPr>
          <w:rFonts w:ascii="Times New Roman" w:eastAsia="Times New Roman" w:hAnsi="Times New Roman"/>
          <w:color w:val="000000"/>
          <w:sz w:val="24"/>
          <w:lang w:val="en-US"/>
        </w:rPr>
        <w:t>. Fume containing these metals is toxic and can cause immediate risk of injury.</w:t>
      </w:r>
    </w:p>
    <w:p w:rsidR="003D08EE" w:rsidRDefault="003D08EE" w:rsidP="003D08EE">
      <w:pPr>
        <w:numPr>
          <w:ilvl w:val="0"/>
          <w:numId w:val="2"/>
        </w:numPr>
        <w:tabs>
          <w:tab w:val="clear" w:pos="504"/>
          <w:tab w:val="left" w:pos="1080"/>
        </w:tabs>
        <w:spacing w:before="22" w:after="0" w:line="275" w:lineRule="exact"/>
        <w:ind w:left="1080" w:right="72" w:hanging="504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lang w:val="en-US"/>
        </w:rPr>
        <w:t>Ozone, carbon monoxide and oxides of nitrogen are formed in some welding and cutting processes. These cannot be detected by the senses, but are toxic.</w:t>
      </w:r>
    </w:p>
    <w:p w:rsidR="003D08EE" w:rsidRDefault="003D08EE" w:rsidP="003D08EE">
      <w:pPr>
        <w:tabs>
          <w:tab w:val="left" w:pos="1080"/>
        </w:tabs>
        <w:spacing w:before="277" w:line="275" w:lineRule="exact"/>
        <w:textAlignment w:val="baseline"/>
        <w:rPr>
          <w:rFonts w:eastAsia="Times New Roman"/>
          <w:color w:val="000000"/>
          <w:spacing w:val="2"/>
          <w:sz w:val="24"/>
        </w:rPr>
      </w:pPr>
      <w:r>
        <w:rPr>
          <w:rFonts w:ascii="Times New Roman" w:eastAsia="Times New Roman" w:hAnsi="Times New Roman"/>
          <w:color w:val="000000"/>
          <w:spacing w:val="2"/>
          <w:sz w:val="24"/>
          <w:lang w:val="en-US"/>
        </w:rPr>
        <w:t>NOTE:</w:t>
      </w:r>
      <w:r>
        <w:rPr>
          <w:rFonts w:ascii="Times New Roman" w:eastAsia="Times New Roman" w:hAnsi="Times New Roman"/>
          <w:color w:val="000000"/>
          <w:spacing w:val="2"/>
          <w:sz w:val="24"/>
          <w:lang w:val="en-US"/>
        </w:rPr>
        <w:tab/>
        <w:t>Short-term risks like these are fairly well known and understood, but failure to take</w:t>
      </w:r>
    </w:p>
    <w:p w:rsidR="003D08EE" w:rsidRDefault="003D08EE" w:rsidP="003D08EE">
      <w:pPr>
        <w:spacing w:line="273" w:lineRule="exact"/>
        <w:textAlignment w:val="baseline"/>
        <w:rPr>
          <w:rFonts w:eastAsia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val="en-US"/>
        </w:rPr>
        <w:t>appropriate</w:t>
      </w:r>
      <w:proofErr w:type="gramEnd"/>
      <w:r>
        <w:rPr>
          <w:rFonts w:ascii="Times New Roman" w:eastAsia="Times New Roman" w:hAnsi="Times New Roman"/>
          <w:color w:val="000000"/>
          <w:sz w:val="24"/>
          <w:lang w:val="en-US"/>
        </w:rPr>
        <w:t xml:space="preserve"> precautions will still expose workers to risk of injury or even death.</w:t>
      </w:r>
    </w:p>
    <w:p w:rsidR="003D08EE" w:rsidRDefault="003D08EE" w:rsidP="003D08EE">
      <w:pPr>
        <w:spacing w:before="1140" w:line="243" w:lineRule="exact"/>
        <w:jc w:val="center"/>
        <w:textAlignment w:val="baseline"/>
        <w:rPr>
          <w:rFonts w:eastAsia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lang w:val="en-US"/>
        </w:rPr>
        <w:t>Long-term risks:</w:t>
      </w:r>
    </w:p>
    <w:p w:rsidR="003D08EE" w:rsidRDefault="003D08EE" w:rsidP="003D08EE">
      <w:pPr>
        <w:spacing w:before="278" w:line="276" w:lineRule="exact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lang w:val="en-US"/>
        </w:rPr>
        <w:t>There is an increasing understanding that exposure to fume can lead to serious chronic health problems in the long term, perhaps many years later. Smoking is now well-known to cause serious health problems in later life and exposure to fume must be treated as a similar risk. The risks include:</w:t>
      </w:r>
    </w:p>
    <w:p w:rsidR="003D08EE" w:rsidRDefault="003D08EE" w:rsidP="003D08EE">
      <w:pPr>
        <w:numPr>
          <w:ilvl w:val="0"/>
          <w:numId w:val="3"/>
        </w:numPr>
        <w:tabs>
          <w:tab w:val="clear" w:pos="576"/>
          <w:tab w:val="left" w:pos="1152"/>
        </w:tabs>
        <w:spacing w:before="299" w:after="0" w:line="273" w:lineRule="exact"/>
        <w:ind w:left="1152" w:hanging="576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lang w:val="en-US"/>
        </w:rPr>
        <w:t>Chronic Obstructive Pulmonary Disease (COPD). This is caused by many factors, such as exposure to dust, and is now linked to exposure to welding fume.</w:t>
      </w:r>
    </w:p>
    <w:p w:rsidR="003D08EE" w:rsidRDefault="003D08EE" w:rsidP="003D08EE">
      <w:pPr>
        <w:numPr>
          <w:ilvl w:val="0"/>
          <w:numId w:val="3"/>
        </w:numPr>
        <w:tabs>
          <w:tab w:val="clear" w:pos="576"/>
          <w:tab w:val="left" w:pos="1152"/>
        </w:tabs>
        <w:spacing w:before="25" w:after="0" w:line="273" w:lineRule="exact"/>
        <w:ind w:left="1152" w:hanging="576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lang w:val="en-US"/>
        </w:rPr>
        <w:t>Lung cancer. This can be caused by exposure to many substances, including heavy metal fume.</w:t>
      </w:r>
    </w:p>
    <w:p w:rsidR="003D08EE" w:rsidRDefault="003D08EE" w:rsidP="003D08EE">
      <w:pPr>
        <w:spacing w:before="278" w:after="256" w:line="275" w:lineRule="exact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lang w:val="en-US"/>
        </w:rPr>
        <w:t>NOTE: The Health and Safety Executive (HSE) have estimated 12,000 people die in the UK each year from long latency health issues, i.e. disease caused over a long period. Of these approximately 4,000 are caused by lung disease with 3,000 attributed to COPD. Many of these will have been at least partly caused by occupational exposure.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5"/>
        <w:gridCol w:w="2725"/>
      </w:tblGrid>
      <w:tr w:rsidR="003D08EE" w:rsidTr="00F520E1">
        <w:tblPrEx>
          <w:tblCellMar>
            <w:top w:w="0" w:type="dxa"/>
            <w:bottom w:w="0" w:type="dxa"/>
          </w:tblCellMar>
        </w:tblPrEx>
        <w:trPr>
          <w:trHeight w:hRule="exact" w:val="1966"/>
        </w:trPr>
        <w:tc>
          <w:tcPr>
            <w:tcW w:w="67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D08EE" w:rsidRDefault="003D08EE" w:rsidP="00F520E1">
            <w:pPr>
              <w:spacing w:after="21" w:line="276" w:lineRule="exact"/>
              <w:ind w:left="36" w:right="576"/>
              <w:textAlignment w:val="baseline"/>
              <w:rPr>
                <w:rFonts w:eastAsia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lang w:val="en-US"/>
              </w:rPr>
              <w:t xml:space="preserve">BCGA has engaged with the HSE and others via the Welding Fume Team to try to influence attitudes and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lang w:val="en-US"/>
              </w:rPr>
              <w:t>behaviours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lang w:val="en-US"/>
              </w:rPr>
              <w:t xml:space="preserve"> with respect to welding fume, particularly in encouraging the use of appropriate Personal Protective Equipment. The Welding Fume Team has produced a website</w:t>
            </w:r>
            <w:r>
              <w:rPr>
                <w:rFonts w:ascii="Times New Roman" w:eastAsia="Times New Roman" w:hAnsi="Times New Roman"/>
                <w:color w:val="0000FF"/>
                <w:spacing w:val="-1"/>
                <w:sz w:val="24"/>
                <w:u w:val="single"/>
                <w:lang w:val="en-US"/>
              </w:rPr>
              <w:t xml:space="preserve"> www.badairday.info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lang w:val="en-US"/>
              </w:rPr>
              <w:t xml:space="preserve"> which explains in detail the safety concerns associated with welding fume and which encourages appropriate safe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lang w:val="en-US"/>
              </w:rPr>
              <w:t>behaviour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lang w:val="en-US"/>
              </w:rPr>
              <w:t>.</w:t>
            </w:r>
          </w:p>
        </w:tc>
        <w:tc>
          <w:tcPr>
            <w:tcW w:w="27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D08EE" w:rsidRDefault="003D08EE" w:rsidP="00F520E1">
            <w:pPr>
              <w:spacing w:before="51" w:after="29"/>
              <w:ind w:right="882"/>
              <w:textAlignment w:val="baseline"/>
            </w:pPr>
            <w:r>
              <w:rPr>
                <w:noProof/>
                <w:lang w:eastAsia="en-GB"/>
              </w:rPr>
              <w:drawing>
                <wp:inline distT="0" distB="0" distL="0" distR="0" wp14:anchorId="3D68AF80" wp14:editId="74218DA0">
                  <wp:extent cx="1170305" cy="1170305"/>
                  <wp:effectExtent l="0" t="0" r="0" b="0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st1"/>
                          <pic:cNvPicPr preferRelativeResize="0"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117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08EE" w:rsidRDefault="003D08EE" w:rsidP="003D08EE">
      <w:pPr>
        <w:spacing w:after="520" w:line="20" w:lineRule="exact"/>
      </w:pPr>
    </w:p>
    <w:p w:rsidR="003D08EE" w:rsidRDefault="003D08EE" w:rsidP="003D08EE">
      <w:pPr>
        <w:tabs>
          <w:tab w:val="left" w:pos="504"/>
        </w:tabs>
        <w:spacing w:before="3" w:line="269" w:lineRule="exact"/>
        <w:textAlignment w:val="baseline"/>
        <w:rPr>
          <w:rFonts w:eastAsia="Times New Roman"/>
          <w:b/>
          <w:color w:val="00007F"/>
          <w:sz w:val="24"/>
        </w:rPr>
      </w:pPr>
      <w:r>
        <w:rPr>
          <w:rFonts w:ascii="Times New Roman" w:eastAsia="Times New Roman" w:hAnsi="Times New Roman"/>
          <w:b/>
          <w:color w:val="00007F"/>
          <w:sz w:val="24"/>
          <w:lang w:val="en-US"/>
        </w:rPr>
        <w:t>3.</w:t>
      </w:r>
      <w:r>
        <w:rPr>
          <w:rFonts w:ascii="Times New Roman" w:eastAsia="Times New Roman" w:hAnsi="Times New Roman"/>
          <w:b/>
          <w:color w:val="00007F"/>
          <w:sz w:val="24"/>
          <w:lang w:val="en-US"/>
        </w:rPr>
        <w:tab/>
        <w:t>WHAT DOES THE LAW SAY, AND HOW SHOULD STAFF BE PROTECTED?</w:t>
      </w:r>
    </w:p>
    <w:p w:rsidR="003D08EE" w:rsidRDefault="003D08EE" w:rsidP="003D08EE">
      <w:pPr>
        <w:spacing w:before="278" w:line="281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lang w:val="en-US"/>
        </w:rPr>
        <w:t>The Health &amp; Safety at Work etc. Act places general duties on employers and employees.</w:t>
      </w:r>
    </w:p>
    <w:p w:rsidR="003D08EE" w:rsidRDefault="003D08EE" w:rsidP="003D08EE">
      <w:pPr>
        <w:spacing w:before="279" w:line="273" w:lineRule="exact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lang w:val="en-US"/>
        </w:rPr>
        <w:t xml:space="preserve">Employers, including self-employed persons, must ensure the health and safety of their employees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en-US"/>
        </w:rPr>
        <w:t>so</w:t>
      </w:r>
      <w:proofErr w:type="gramEnd"/>
      <w:r>
        <w:rPr>
          <w:rFonts w:ascii="Times New Roman" w:eastAsia="Times New Roman" w:hAnsi="Times New Roman"/>
          <w:color w:val="000000"/>
          <w:sz w:val="24"/>
          <w:lang w:val="en-US"/>
        </w:rPr>
        <w:t xml:space="preserve"> far as is reasonably practicable. To do this they must:</w:t>
      </w:r>
    </w:p>
    <w:p w:rsidR="003D08EE" w:rsidRDefault="003D08EE" w:rsidP="003D08EE">
      <w:pPr>
        <w:numPr>
          <w:ilvl w:val="0"/>
          <w:numId w:val="3"/>
        </w:numPr>
        <w:tabs>
          <w:tab w:val="clear" w:pos="576"/>
          <w:tab w:val="left" w:pos="1152"/>
        </w:tabs>
        <w:spacing w:before="299" w:after="0" w:line="273" w:lineRule="exact"/>
        <w:ind w:left="1152" w:hanging="576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lang w:val="en-US"/>
        </w:rPr>
        <w:t>Conduct a risk assessment of all activities which involve a risk to health and safety. This must be formally recorded.</w:t>
      </w:r>
    </w:p>
    <w:p w:rsidR="003D08EE" w:rsidRDefault="003D08EE" w:rsidP="003D08EE">
      <w:pPr>
        <w:numPr>
          <w:ilvl w:val="0"/>
          <w:numId w:val="3"/>
        </w:numPr>
        <w:tabs>
          <w:tab w:val="clear" w:pos="576"/>
          <w:tab w:val="left" w:pos="1152"/>
        </w:tabs>
        <w:spacing w:before="25" w:after="0" w:line="269" w:lineRule="exact"/>
        <w:ind w:left="1152" w:hanging="576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lang w:val="en-US"/>
        </w:rPr>
        <w:t>Make available to employees information about the risks identified and the control measures put in place to mitigate them.</w:t>
      </w:r>
    </w:p>
    <w:p w:rsidR="003D08EE" w:rsidRDefault="003D08EE" w:rsidP="003D08EE">
      <w:pPr>
        <w:numPr>
          <w:ilvl w:val="0"/>
          <w:numId w:val="3"/>
        </w:numPr>
        <w:tabs>
          <w:tab w:val="clear" w:pos="576"/>
          <w:tab w:val="left" w:pos="1152"/>
        </w:tabs>
        <w:spacing w:after="0" w:line="293" w:lineRule="exact"/>
        <w:ind w:left="1152" w:hanging="576"/>
        <w:jc w:val="both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ascii="Times New Roman" w:eastAsia="Times New Roman" w:hAnsi="Times New Roman"/>
          <w:color w:val="000000"/>
          <w:spacing w:val="-1"/>
          <w:sz w:val="24"/>
          <w:lang w:val="en-US"/>
        </w:rPr>
        <w:t>Provide protective equipment as necessary.</w:t>
      </w:r>
    </w:p>
    <w:p w:rsidR="003D08EE" w:rsidRDefault="003D08EE" w:rsidP="003D08EE">
      <w:pPr>
        <w:numPr>
          <w:ilvl w:val="0"/>
          <w:numId w:val="3"/>
        </w:numPr>
        <w:tabs>
          <w:tab w:val="clear" w:pos="576"/>
          <w:tab w:val="left" w:pos="1152"/>
        </w:tabs>
        <w:spacing w:after="0" w:line="301" w:lineRule="exact"/>
        <w:ind w:left="1152" w:hanging="576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lang w:val="en-US"/>
        </w:rPr>
        <w:t>Provide training to employees on procedures and safety.</w:t>
      </w:r>
    </w:p>
    <w:p w:rsidR="003D08EE" w:rsidRDefault="003D08EE" w:rsidP="003D08EE">
      <w:pPr>
        <w:spacing w:before="278" w:line="274" w:lineRule="exact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lang w:val="en-US"/>
        </w:rPr>
        <w:t>Employees must cooperate with their employer in relation to health and safety issues. This requires that they:</w:t>
      </w:r>
    </w:p>
    <w:p w:rsidR="003D08EE" w:rsidRDefault="003D08EE" w:rsidP="003D08EE">
      <w:pPr>
        <w:numPr>
          <w:ilvl w:val="0"/>
          <w:numId w:val="3"/>
        </w:numPr>
        <w:tabs>
          <w:tab w:val="clear" w:pos="576"/>
          <w:tab w:val="left" w:pos="1152"/>
        </w:tabs>
        <w:spacing w:before="263" w:after="0" w:line="300" w:lineRule="exact"/>
        <w:ind w:left="1152" w:hanging="576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ascii="Times New Roman" w:eastAsia="Times New Roman" w:hAnsi="Times New Roman"/>
          <w:color w:val="000000"/>
          <w:spacing w:val="-1"/>
          <w:sz w:val="24"/>
          <w:lang w:val="en-US"/>
        </w:rPr>
        <w:t>Follow instructions for safe working.</w:t>
      </w:r>
    </w:p>
    <w:p w:rsidR="003D08EE" w:rsidRDefault="003D08EE" w:rsidP="003D08EE">
      <w:pPr>
        <w:numPr>
          <w:ilvl w:val="0"/>
          <w:numId w:val="3"/>
        </w:numPr>
        <w:tabs>
          <w:tab w:val="clear" w:pos="576"/>
          <w:tab w:val="left" w:pos="1152"/>
        </w:tabs>
        <w:spacing w:after="0" w:line="293" w:lineRule="exact"/>
        <w:ind w:left="1152" w:hanging="576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ascii="Times New Roman" w:eastAsia="Times New Roman" w:hAnsi="Times New Roman"/>
          <w:color w:val="000000"/>
          <w:spacing w:val="-1"/>
          <w:sz w:val="24"/>
          <w:lang w:val="en-US"/>
        </w:rPr>
        <w:t>Participate in training.</w:t>
      </w:r>
    </w:p>
    <w:p w:rsidR="003D08EE" w:rsidRDefault="003D08EE" w:rsidP="003D08EE">
      <w:pPr>
        <w:numPr>
          <w:ilvl w:val="0"/>
          <w:numId w:val="3"/>
        </w:numPr>
        <w:tabs>
          <w:tab w:val="clear" w:pos="576"/>
          <w:tab w:val="left" w:pos="1152"/>
        </w:tabs>
        <w:spacing w:after="0" w:line="300" w:lineRule="exact"/>
        <w:ind w:left="1152" w:hanging="576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ascii="Times New Roman" w:eastAsia="Times New Roman" w:hAnsi="Times New Roman"/>
          <w:color w:val="000000"/>
          <w:spacing w:val="-1"/>
          <w:sz w:val="24"/>
          <w:lang w:val="en-US"/>
        </w:rPr>
        <w:t>Use the protective equipment provided.</w:t>
      </w:r>
    </w:p>
    <w:p w:rsidR="003D08EE" w:rsidRDefault="003D08EE" w:rsidP="003D08EE">
      <w:pPr>
        <w:spacing w:before="273" w:after="731" w:line="279" w:lineRule="exact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lang w:val="en-US"/>
        </w:rPr>
        <w:t xml:space="preserve">It is vital that employers and employees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en-US"/>
        </w:rPr>
        <w:t>recognise</w:t>
      </w:r>
      <w:proofErr w:type="spellEnd"/>
      <w:r>
        <w:rPr>
          <w:rFonts w:ascii="Times New Roman" w:eastAsia="Times New Roman" w:hAnsi="Times New Roman"/>
          <w:color w:val="000000"/>
          <w:sz w:val="24"/>
          <w:lang w:val="en-US"/>
        </w:rPr>
        <w:t xml:space="preserve"> these duties, which are enshrined in criminal law.</w:t>
      </w:r>
    </w:p>
    <w:p w:rsidR="003D08EE" w:rsidRDefault="003D08EE" w:rsidP="003D08EE">
      <w:pPr>
        <w:spacing w:before="11" w:line="243" w:lineRule="exact"/>
        <w:jc w:val="center"/>
        <w:textAlignment w:val="baseline"/>
        <w:rPr>
          <w:rFonts w:eastAsia="Times New Roman"/>
          <w:color w:val="000000"/>
          <w:spacing w:val="13"/>
          <w:sz w:val="21"/>
        </w:rPr>
      </w:pPr>
      <w:r>
        <w:rPr>
          <w:rFonts w:ascii="Times New Roman" w:eastAsia="Times New Roman" w:hAnsi="Times New Roman"/>
          <w:color w:val="000000"/>
          <w:spacing w:val="13"/>
          <w:sz w:val="21"/>
          <w:lang w:val="en-US"/>
        </w:rPr>
        <w:t>3 of 4</w:t>
      </w:r>
    </w:p>
    <w:p w:rsidR="003D08EE" w:rsidRDefault="003D08EE" w:rsidP="003D08EE">
      <w:pPr>
        <w:sectPr w:rsidR="003D08EE">
          <w:pgSz w:w="11904" w:h="16843"/>
          <w:pgMar w:top="1120" w:right="1192" w:bottom="559" w:left="1212" w:header="720" w:footer="720" w:gutter="0"/>
          <w:cols w:space="720"/>
        </w:sectPr>
      </w:pPr>
    </w:p>
    <w:p w:rsidR="003D08EE" w:rsidRDefault="003D08EE" w:rsidP="003D08EE">
      <w:pPr>
        <w:rPr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835"/>
      </w:tblGrid>
      <w:tr w:rsidR="003D08EE" w:rsidTr="00F520E1">
        <w:tblPrEx>
          <w:tblCellMar>
            <w:top w:w="0" w:type="dxa"/>
            <w:bottom w:w="0" w:type="dxa"/>
          </w:tblCellMar>
        </w:tblPrEx>
        <w:trPr>
          <w:trHeight w:hRule="exact" w:val="531"/>
        </w:trPr>
        <w:tc>
          <w:tcPr>
            <w:tcW w:w="46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D08EE" w:rsidRDefault="003D08EE" w:rsidP="00F520E1">
            <w:pPr>
              <w:spacing w:after="228" w:line="280" w:lineRule="exact"/>
              <w:ind w:right="606"/>
              <w:jc w:val="right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Protection of staff may require the use of:</w:t>
            </w: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D08EE" w:rsidRDefault="003D08EE" w:rsidP="00F520E1"/>
        </w:tc>
      </w:tr>
      <w:tr w:rsidR="003D08EE" w:rsidTr="00F520E1">
        <w:tblPrEx>
          <w:tblCellMar>
            <w:top w:w="0" w:type="dxa"/>
            <w:bottom w:w="0" w:type="dxa"/>
          </w:tblCellMar>
        </w:tblPrEx>
        <w:trPr>
          <w:trHeight w:hRule="exact" w:val="3226"/>
        </w:trPr>
        <w:tc>
          <w:tcPr>
            <w:tcW w:w="4665" w:type="dxa"/>
            <w:tcBorders>
              <w:top w:val="none" w:sz="0" w:space="0" w:color="000000"/>
              <w:left w:val="none" w:sz="0" w:space="0" w:color="000000"/>
              <w:bottom w:val="none" w:sz="1" w:space="0" w:color="361E65"/>
              <w:right w:val="none" w:sz="0" w:space="0" w:color="000000"/>
            </w:tcBorders>
          </w:tcPr>
          <w:p w:rsidR="003D08EE" w:rsidRDefault="003D08EE" w:rsidP="00F520E1">
            <w:pPr>
              <w:ind w:left="41" w:right="663"/>
              <w:jc w:val="right"/>
              <w:textAlignment w:val="baseline"/>
            </w:pPr>
            <w:r>
              <w:rPr>
                <w:noProof/>
                <w:lang w:eastAsia="en-GB"/>
              </w:rPr>
              <w:drawing>
                <wp:inline distT="0" distB="0" distL="0" distR="0" wp14:anchorId="464321F2" wp14:editId="187A0D45">
                  <wp:extent cx="2054860" cy="2048510"/>
                  <wp:effectExtent l="0" t="0" r="0" b="0"/>
                  <wp:docPr id="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est1"/>
                          <pic:cNvPicPr preferRelativeResize="0"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860" cy="204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D08EE" w:rsidRDefault="003D08EE" w:rsidP="00F520E1">
            <w:pPr>
              <w:ind w:right="708"/>
              <w:jc w:val="right"/>
              <w:textAlignment w:val="baseline"/>
            </w:pPr>
            <w:r>
              <w:rPr>
                <w:noProof/>
                <w:lang w:eastAsia="en-GB"/>
              </w:rPr>
              <w:drawing>
                <wp:inline distT="0" distB="0" distL="0" distR="0" wp14:anchorId="1D5BC711" wp14:editId="64F09716">
                  <wp:extent cx="2023745" cy="2036445"/>
                  <wp:effectExtent l="0" t="0" r="0" b="0"/>
                  <wp:docPr id="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est1"/>
                          <pic:cNvPicPr preferRelativeResize="0"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203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8EE" w:rsidTr="00F520E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665" w:type="dxa"/>
            <w:tcBorders>
              <w:top w:val="none" w:sz="1" w:space="0" w:color="361E65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D08EE" w:rsidRDefault="003D08EE" w:rsidP="00F520E1">
            <w:pPr>
              <w:spacing w:before="63" w:after="218" w:line="279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Heat resistant gloves, safety boots,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br/>
              <w:t>fire-resistant clothing</w:t>
            </w: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D08EE" w:rsidRDefault="003D08EE" w:rsidP="00F520E1">
            <w:pPr>
              <w:spacing w:before="62" w:after="497" w:line="280" w:lineRule="exact"/>
              <w:ind w:right="334"/>
              <w:jc w:val="right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Eye protection, often with full face visor</w:t>
            </w:r>
          </w:p>
        </w:tc>
      </w:tr>
      <w:tr w:rsidR="003D08EE" w:rsidTr="00F520E1">
        <w:tblPrEx>
          <w:tblCellMar>
            <w:top w:w="0" w:type="dxa"/>
            <w:bottom w:w="0" w:type="dxa"/>
          </w:tblCellMar>
        </w:tblPrEx>
        <w:trPr>
          <w:trHeight w:hRule="exact" w:val="3144"/>
        </w:trPr>
        <w:tc>
          <w:tcPr>
            <w:tcW w:w="46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D08EE" w:rsidRDefault="003D08EE" w:rsidP="00F520E1">
            <w:pPr>
              <w:spacing w:after="72"/>
              <w:ind w:left="41"/>
              <w:jc w:val="center"/>
              <w:textAlignment w:val="baseline"/>
            </w:pPr>
            <w:r>
              <w:rPr>
                <w:noProof/>
                <w:lang w:eastAsia="en-GB"/>
              </w:rPr>
              <w:drawing>
                <wp:inline distT="0" distB="0" distL="0" distR="0" wp14:anchorId="7CE124DE" wp14:editId="64505ED8">
                  <wp:extent cx="1950720" cy="1950720"/>
                  <wp:effectExtent l="0" t="0" r="0" b="0"/>
                  <wp:docPr id="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est1"/>
                          <pic:cNvPicPr preferRelativeResize="0"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D08EE" w:rsidRDefault="003D08EE" w:rsidP="00F520E1">
            <w:pPr>
              <w:ind w:right="742"/>
              <w:jc w:val="right"/>
              <w:textAlignment w:val="baseline"/>
            </w:pPr>
            <w:r>
              <w:rPr>
                <w:noProof/>
                <w:lang w:eastAsia="en-GB"/>
              </w:rPr>
              <w:drawing>
                <wp:inline distT="0" distB="0" distL="0" distR="0" wp14:anchorId="7A536A98" wp14:editId="6D2D3929">
                  <wp:extent cx="1978025" cy="1996440"/>
                  <wp:effectExtent l="0" t="0" r="0" b="0"/>
                  <wp:docPr id="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est1"/>
                          <pic:cNvPicPr preferRelativeResize="0"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99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8EE" w:rsidTr="00F520E1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46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D08EE" w:rsidRDefault="003D08EE" w:rsidP="00F520E1">
            <w:pPr>
              <w:spacing w:before="47" w:line="269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Extraction / ventilation system to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br/>
              <w:t>ensure clean air supply</w:t>
            </w: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D08EE" w:rsidRDefault="003D08EE" w:rsidP="00F520E1">
            <w:pPr>
              <w:spacing w:before="43" w:after="262" w:line="280" w:lineRule="exact"/>
              <w:ind w:right="694"/>
              <w:jc w:val="right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Breathing apparatus or respirator</w:t>
            </w:r>
          </w:p>
        </w:tc>
      </w:tr>
    </w:tbl>
    <w:p w:rsidR="003D08EE" w:rsidRDefault="003D08EE" w:rsidP="003D08EE">
      <w:pPr>
        <w:spacing w:line="20" w:lineRule="exact"/>
      </w:pPr>
    </w:p>
    <w:p w:rsidR="003D08EE" w:rsidRDefault="003D08EE" w:rsidP="003D08EE">
      <w:pPr>
        <w:spacing w:before="10" w:line="273" w:lineRule="exact"/>
        <w:ind w:right="576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ascii="Times New Roman" w:eastAsia="Times New Roman" w:hAnsi="Times New Roman"/>
          <w:color w:val="000000"/>
          <w:spacing w:val="-1"/>
          <w:sz w:val="24"/>
          <w:lang w:val="en-US"/>
        </w:rPr>
        <w:t>The actual requirement for any job will be defined in the overall risk assessment. Employees must ensure that they follow the instructions to use the protection systems provided.</w:t>
      </w:r>
    </w:p>
    <w:p w:rsidR="003D08EE" w:rsidRPr="00147F41" w:rsidRDefault="003D08EE">
      <w:pPr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337820</wp:posOffset>
                </wp:positionV>
                <wp:extent cx="4122420" cy="678180"/>
                <wp:effectExtent l="0" t="0" r="11430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2420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8EE" w:rsidRDefault="003D08EE" w:rsidP="003D08EE">
                            <w:pPr>
                              <w:jc w:val="center"/>
                            </w:pPr>
                            <w:r>
                              <w:t>If you have any enquiries on this subject please contact Gerry Braddock (see covering page), your VBRA Area Manager or VBRA Head Office (013 253 8333)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76.2pt;margin-top:26.6pt;width:324.6pt;height:53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" fillcolor="white [3201]" strokeweight=".5pt">
                <v:textbox>
                  <w:txbxContent>
                    <w:p w:rsidR="003D08EE" w:rsidRDefault="003D08EE" w:rsidP="003D08EE">
                      <w:pPr>
                        <w:jc w:val="center"/>
                      </w:pPr>
                      <w:r>
                        <w:t>If you have any enquiries on this subject please contact Gerry Braddock (see covering page), your VBRA Area Manager or VBRA Head Office (013 253 8333)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D08EE" w:rsidRPr="00147F41" w:rsidSect="00147F41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17143"/>
    <w:multiLevelType w:val="multilevel"/>
    <w:tmpl w:val="C5F0089C"/>
    <w:lvl w:ilvl="0">
      <w:start w:val="1"/>
      <w:numFmt w:val="decimal"/>
      <w:lvlText w:val="%1."/>
      <w:lvlJc w:val="left"/>
      <w:pPr>
        <w:tabs>
          <w:tab w:val="left" w:pos="576"/>
        </w:tabs>
        <w:ind w:left="720"/>
      </w:pPr>
      <w:rPr>
        <w:rFonts w:ascii="Times New Roman" w:eastAsia="Times New Roman" w:hAnsi="Times New Roman"/>
        <w:b/>
        <w:strike w:val="0"/>
        <w:color w:val="00007F"/>
        <w:spacing w:val="-4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C53338"/>
    <w:multiLevelType w:val="multilevel"/>
    <w:tmpl w:val="628270CC"/>
    <w:lvl w:ilvl="0">
      <w:start w:val="1"/>
      <w:numFmt w:val="bullet"/>
      <w:lvlText w:val="·"/>
      <w:lvlJc w:val="left"/>
      <w:pPr>
        <w:tabs>
          <w:tab w:val="left" w:pos="576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8956A5"/>
    <w:multiLevelType w:val="multilevel"/>
    <w:tmpl w:val="A0B49384"/>
    <w:lvl w:ilvl="0">
      <w:start w:val="1"/>
      <w:numFmt w:val="bullet"/>
      <w:lvlText w:val="·"/>
      <w:lvlJc w:val="left"/>
      <w:pPr>
        <w:tabs>
          <w:tab w:val="left" w:pos="504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41"/>
    <w:rsid w:val="000A0C35"/>
    <w:rsid w:val="00147F41"/>
    <w:rsid w:val="001C4D5A"/>
    <w:rsid w:val="003D08EE"/>
    <w:rsid w:val="003D7A73"/>
    <w:rsid w:val="004A6ADA"/>
    <w:rsid w:val="005077B9"/>
    <w:rsid w:val="005761D5"/>
    <w:rsid w:val="0065384A"/>
    <w:rsid w:val="006B1BE0"/>
    <w:rsid w:val="006C714D"/>
    <w:rsid w:val="00794FAD"/>
    <w:rsid w:val="007F71D2"/>
    <w:rsid w:val="008909A3"/>
    <w:rsid w:val="008A583D"/>
    <w:rsid w:val="008F5836"/>
    <w:rsid w:val="009A7F18"/>
    <w:rsid w:val="009F4D4D"/>
    <w:rsid w:val="00BA60E5"/>
    <w:rsid w:val="00C57B84"/>
    <w:rsid w:val="00C62D30"/>
    <w:rsid w:val="00CD678D"/>
    <w:rsid w:val="00D55270"/>
    <w:rsid w:val="00D64764"/>
    <w:rsid w:val="00F97BBE"/>
    <w:rsid w:val="00FC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490BF034-23DB-49E5-B0A1-D6D876C4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7F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bra.co.uk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www.vbra.co.uk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gerryb@vbra.co.uk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g"/><Relationship Id="rId15" Type="http://schemas.openxmlformats.org/officeDocument/2006/relationships/image" Target="media/image7.png"/><Relationship Id="rId10" Type="http://schemas.openxmlformats.org/officeDocument/2006/relationships/hyperlink" Target="http://www.bcga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4587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Braddock</dc:creator>
  <cp:keywords/>
  <dc:description/>
  <cp:lastModifiedBy>Malcolm Tagg</cp:lastModifiedBy>
  <cp:revision>2</cp:revision>
  <dcterms:created xsi:type="dcterms:W3CDTF">2015-09-04T11:15:00Z</dcterms:created>
  <dcterms:modified xsi:type="dcterms:W3CDTF">2015-09-04T11:15:00Z</dcterms:modified>
</cp:coreProperties>
</file>